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黑体" w:cs="Times New Roman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  <w:highlight w:val="none"/>
          <w:lang w:val="en-US" w:eastAsia="zh-CN"/>
        </w:rPr>
        <w:t>附件4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highlight w:val="none"/>
          <w:lang w:val="en-US" w:eastAsia="zh-CN"/>
        </w:rPr>
        <w:t>县（市、旗）基本信息表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highlight w:val="none"/>
        </w:rPr>
      </w:pPr>
    </w:p>
    <w:tbl>
      <w:tblPr>
        <w:tblStyle w:val="4"/>
        <w:tblW w:w="88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56"/>
        <w:gridCol w:w="3384"/>
        <w:gridCol w:w="2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63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</w:rPr>
              <w:t>名称</w:t>
            </w:r>
          </w:p>
        </w:tc>
        <w:tc>
          <w:tcPr>
            <w:tcW w:w="2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</w:rPr>
              <w:t>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63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.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行政区域面积（km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vertAlign w:val="superscript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）</w:t>
            </w:r>
          </w:p>
        </w:tc>
        <w:tc>
          <w:tcPr>
            <w:tcW w:w="2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63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.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户籍人口（万人）</w:t>
            </w:r>
          </w:p>
        </w:tc>
        <w:tc>
          <w:tcPr>
            <w:tcW w:w="2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295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.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常住人口</w:t>
            </w:r>
          </w:p>
        </w:tc>
        <w:tc>
          <w:tcPr>
            <w:tcW w:w="33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城市人口（万人）</w:t>
            </w:r>
          </w:p>
        </w:tc>
        <w:tc>
          <w:tcPr>
            <w:tcW w:w="2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295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</w:tc>
        <w:tc>
          <w:tcPr>
            <w:tcW w:w="33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农村人口（万人）</w:t>
            </w:r>
          </w:p>
        </w:tc>
        <w:tc>
          <w:tcPr>
            <w:tcW w:w="2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63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.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地区生产总值（亿元）</w:t>
            </w:r>
          </w:p>
        </w:tc>
        <w:tc>
          <w:tcPr>
            <w:tcW w:w="2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63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.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规模以上工业增加值（亿元）</w:t>
            </w:r>
          </w:p>
        </w:tc>
        <w:tc>
          <w:tcPr>
            <w:tcW w:w="2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63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.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财政收入（亿元）</w:t>
            </w:r>
          </w:p>
        </w:tc>
        <w:tc>
          <w:tcPr>
            <w:tcW w:w="2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63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.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地方公共财政预算收入（亿元）</w:t>
            </w:r>
          </w:p>
        </w:tc>
        <w:tc>
          <w:tcPr>
            <w:tcW w:w="2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295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.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第一、二、三产业分别占GDP比例</w:t>
            </w:r>
          </w:p>
        </w:tc>
        <w:tc>
          <w:tcPr>
            <w:tcW w:w="33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第一产业占GDP比例（%）</w:t>
            </w:r>
          </w:p>
        </w:tc>
        <w:tc>
          <w:tcPr>
            <w:tcW w:w="2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295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</w:tc>
        <w:tc>
          <w:tcPr>
            <w:tcW w:w="33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第二产业占GDP比例（%）</w:t>
            </w:r>
          </w:p>
        </w:tc>
        <w:tc>
          <w:tcPr>
            <w:tcW w:w="2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295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</w:tc>
        <w:tc>
          <w:tcPr>
            <w:tcW w:w="33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第三产业占GDP比例（%）</w:t>
            </w:r>
          </w:p>
        </w:tc>
        <w:tc>
          <w:tcPr>
            <w:tcW w:w="2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295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.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科技管理部门基本情况</w:t>
            </w:r>
          </w:p>
        </w:tc>
        <w:tc>
          <w:tcPr>
            <w:tcW w:w="33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科技管理部门名称</w:t>
            </w:r>
          </w:p>
        </w:tc>
        <w:tc>
          <w:tcPr>
            <w:tcW w:w="2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295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</w:tc>
        <w:tc>
          <w:tcPr>
            <w:tcW w:w="33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科技管理人员数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人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eastAsia="zh-CN"/>
              </w:rPr>
              <w:t>）</w:t>
            </w:r>
          </w:p>
        </w:tc>
        <w:tc>
          <w:tcPr>
            <w:tcW w:w="2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295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</w:tc>
        <w:tc>
          <w:tcPr>
            <w:tcW w:w="33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科技管理部门直接管理的本级科学技术支出（万元）</w:t>
            </w:r>
          </w:p>
        </w:tc>
        <w:tc>
          <w:tcPr>
            <w:tcW w:w="2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63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.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201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7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eastAsia="zh-CN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年获得国家级荣誉称号情况</w:t>
            </w:r>
          </w:p>
        </w:tc>
        <w:tc>
          <w:tcPr>
            <w:tcW w:w="2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Times New Roman" w:hAnsi="Times New Roman" w:eastAsia="仿宋_GB2312" w:cs="Times New Roman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28"/>
          <w:szCs w:val="28"/>
          <w:highlight w:val="none"/>
        </w:rPr>
        <w:t>注：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均为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年数据</w:t>
      </w: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eastAsia="zh-CN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C6604B"/>
    <w:rsid w:val="1FC6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qFormat/>
    <w:uiPriority w:val="0"/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2022-11-14T07:06:00Z</dcterms:created>
  <dc:creator>lenovo</dc:creator>
  <cp:lastModifiedBy>lenovo</cp:lastModifiedBy>
  <dcterms:modified xsi:type="dcterms:W3CDTF">2022-11-14T07:07:12Z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